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F36" w:rsidRDefault="00FC5F36" w:rsidP="002F69A4">
      <w:pPr>
        <w:pStyle w:val="Szvegtrzs2"/>
        <w:ind w:firstLine="0"/>
        <w:outlineLvl w:val="0"/>
      </w:pPr>
      <w:r>
        <w:t>A Magyar Aktuárius Társaság 20</w:t>
      </w:r>
      <w:r w:rsidR="00AD6B48">
        <w:t>1</w:t>
      </w:r>
      <w:r w:rsidR="00FD26FB">
        <w:t>4</w:t>
      </w:r>
      <w:r>
        <w:t>/20</w:t>
      </w:r>
      <w:r w:rsidR="00EC00CF">
        <w:t>1</w:t>
      </w:r>
      <w:r w:rsidR="00FD26FB">
        <w:t>5</w:t>
      </w:r>
      <w:r>
        <w:t xml:space="preserve"> évi munkaprogramja</w:t>
      </w:r>
    </w:p>
    <w:p w:rsidR="00FC5F36" w:rsidRPr="00FD26FB" w:rsidRDefault="00FC5F36">
      <w:pPr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Szakmai programok, továbbképzések szervezése és szakmai rendezvények figyelemmel kísérése, különös tekintettel a</w:t>
      </w:r>
      <w:r w:rsidR="00D13B92">
        <w:rPr>
          <w:sz w:val="24"/>
          <w:szCs w:val="24"/>
        </w:rPr>
        <w:t xml:space="preserve"> </w:t>
      </w:r>
      <w:r w:rsidR="00BB39D5">
        <w:rPr>
          <w:sz w:val="24"/>
          <w:szCs w:val="24"/>
        </w:rPr>
        <w:t>201</w:t>
      </w:r>
      <w:r w:rsidR="00FD26FB">
        <w:rPr>
          <w:sz w:val="24"/>
          <w:szCs w:val="24"/>
        </w:rPr>
        <w:t>4</w:t>
      </w:r>
      <w:r w:rsidR="00BE14DB">
        <w:rPr>
          <w:sz w:val="24"/>
          <w:szCs w:val="24"/>
        </w:rPr>
        <w:t xml:space="preserve">. évi </w:t>
      </w:r>
      <w:r w:rsidR="00D13B92">
        <w:rPr>
          <w:sz w:val="24"/>
          <w:szCs w:val="24"/>
        </w:rPr>
        <w:t>Őszi Iskolára, a 20</w:t>
      </w:r>
      <w:r w:rsidR="00EC00CF">
        <w:rPr>
          <w:sz w:val="24"/>
          <w:szCs w:val="24"/>
        </w:rPr>
        <w:t>1</w:t>
      </w:r>
      <w:r w:rsidR="00FD26FB">
        <w:rPr>
          <w:sz w:val="24"/>
          <w:szCs w:val="24"/>
        </w:rPr>
        <w:t>5</w:t>
      </w:r>
      <w:r>
        <w:rPr>
          <w:sz w:val="24"/>
          <w:szCs w:val="24"/>
        </w:rPr>
        <w:t xml:space="preserve">. évi </w:t>
      </w:r>
      <w:r w:rsidR="00FD26FB">
        <w:rPr>
          <w:sz w:val="24"/>
          <w:szCs w:val="24"/>
        </w:rPr>
        <w:t>Tavaszi</w:t>
      </w:r>
      <w:r>
        <w:rPr>
          <w:sz w:val="24"/>
          <w:szCs w:val="24"/>
        </w:rPr>
        <w:t xml:space="preserve"> Sz</w:t>
      </w:r>
      <w:r w:rsidR="00D13B92">
        <w:rPr>
          <w:sz w:val="24"/>
          <w:szCs w:val="24"/>
        </w:rPr>
        <w:t>impóziumra</w:t>
      </w:r>
      <w:r w:rsidR="0021377C">
        <w:rPr>
          <w:sz w:val="24"/>
          <w:szCs w:val="24"/>
        </w:rPr>
        <w:t xml:space="preserve">, a MAT szemináriumaira </w:t>
      </w:r>
      <w:r w:rsidR="0021377C" w:rsidRPr="00FD26FB">
        <w:rPr>
          <w:sz w:val="24"/>
          <w:szCs w:val="24"/>
        </w:rPr>
        <w:t>és</w:t>
      </w:r>
      <w:r w:rsidR="00641E83" w:rsidRPr="00FD26FB">
        <w:rPr>
          <w:sz w:val="24"/>
          <w:szCs w:val="24"/>
        </w:rPr>
        <w:t xml:space="preserve"> a biztosításmatematikai előadások számának növelés</w:t>
      </w:r>
      <w:r w:rsidR="0021377C" w:rsidRPr="00FD26FB">
        <w:rPr>
          <w:sz w:val="24"/>
          <w:szCs w:val="24"/>
        </w:rPr>
        <w:t>ér</w:t>
      </w:r>
      <w:r w:rsidR="00641E83" w:rsidRPr="00FD26FB">
        <w:rPr>
          <w:sz w:val="24"/>
          <w:szCs w:val="24"/>
        </w:rPr>
        <w:t>e.</w:t>
      </w:r>
    </w:p>
    <w:p w:rsidR="00FC5F36" w:rsidRDefault="00FC5F36">
      <w:pPr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Szakmai Továbbképzési Rendszer</w:t>
      </w:r>
      <w:r w:rsidR="008F0FF1">
        <w:rPr>
          <w:sz w:val="24"/>
          <w:szCs w:val="24"/>
        </w:rPr>
        <w:t xml:space="preserve">, illetve a </w:t>
      </w:r>
      <w:r w:rsidR="008F0FF1" w:rsidRPr="00D275A5">
        <w:rPr>
          <w:sz w:val="24"/>
          <w:szCs w:val="24"/>
        </w:rPr>
        <w:t xml:space="preserve">szakmai követelmény-rendszer </w:t>
      </w:r>
      <w:r w:rsidR="008F0FF1">
        <w:rPr>
          <w:sz w:val="24"/>
          <w:szCs w:val="24"/>
        </w:rPr>
        <w:t>működtetése és</w:t>
      </w:r>
      <w:r>
        <w:rPr>
          <w:sz w:val="24"/>
          <w:szCs w:val="24"/>
        </w:rPr>
        <w:t xml:space="preserve"> továbbfejlesztése</w:t>
      </w:r>
      <w:r w:rsidR="008F0FF1">
        <w:rPr>
          <w:sz w:val="24"/>
          <w:szCs w:val="24"/>
        </w:rPr>
        <w:t>.</w:t>
      </w:r>
      <w:r w:rsidR="007E528F">
        <w:rPr>
          <w:sz w:val="24"/>
          <w:szCs w:val="24"/>
        </w:rPr>
        <w:t xml:space="preserve"> </w:t>
      </w:r>
      <w:r w:rsidR="007E528F" w:rsidRPr="007E528F">
        <w:rPr>
          <w:sz w:val="24"/>
          <w:szCs w:val="24"/>
        </w:rPr>
        <w:t>A</w:t>
      </w:r>
      <w:r w:rsidR="007E528F">
        <w:rPr>
          <w:sz w:val="24"/>
          <w:szCs w:val="24"/>
        </w:rPr>
        <w:t xml:space="preserve"> minősítésért folyamodó tagok</w:t>
      </w:r>
      <w:r w:rsidR="007E528F" w:rsidRPr="007E528F">
        <w:rPr>
          <w:sz w:val="24"/>
          <w:szCs w:val="24"/>
        </w:rPr>
        <w:t xml:space="preserve"> pályázat</w:t>
      </w:r>
      <w:r w:rsidR="007E528F">
        <w:rPr>
          <w:sz w:val="24"/>
          <w:szCs w:val="24"/>
        </w:rPr>
        <w:t>ainak formai követelményei</w:t>
      </w:r>
      <w:r w:rsidR="007E528F" w:rsidRPr="007E528F">
        <w:rPr>
          <w:sz w:val="24"/>
          <w:szCs w:val="24"/>
        </w:rPr>
        <w:t xml:space="preserve"> és az elbírálás során figyelembe vett részletes tematikák Akkreditáci</w:t>
      </w:r>
      <w:r w:rsidR="007E528F">
        <w:rPr>
          <w:sz w:val="24"/>
          <w:szCs w:val="24"/>
        </w:rPr>
        <w:t>ós Bizottság által történő elfogadása és közzététele</w:t>
      </w:r>
      <w:r w:rsidR="007E528F" w:rsidRPr="007E528F">
        <w:rPr>
          <w:sz w:val="24"/>
          <w:szCs w:val="24"/>
        </w:rPr>
        <w:t xml:space="preserve"> a Társaság honlapján.</w:t>
      </w:r>
    </w:p>
    <w:p w:rsidR="00FC5F36" w:rsidRPr="008F0FF1" w:rsidRDefault="00FC5F36" w:rsidP="008F0FF1">
      <w:pPr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MAT folyamatos aktív részvétele a tágabban értelmezett biztosítási közéletben, beleértve nyugdíjrendszert, az egészségbiztosítási rendszert, valamint a</w:t>
      </w:r>
      <w:r w:rsidR="00BB39D5">
        <w:rPr>
          <w:sz w:val="24"/>
          <w:szCs w:val="24"/>
        </w:rPr>
        <w:t xml:space="preserve"> nyugdíj</w:t>
      </w:r>
      <w:r>
        <w:rPr>
          <w:sz w:val="24"/>
          <w:szCs w:val="24"/>
        </w:rPr>
        <w:t>pénztárakat érintő munkálatokat is. Véleménynyilvánítás és érdekképviselet az aktuárius szakmát érintő valamennyi kérdésben</w:t>
      </w:r>
      <w:r w:rsidR="008F0FF1">
        <w:rPr>
          <w:sz w:val="24"/>
          <w:szCs w:val="24"/>
        </w:rPr>
        <w:t>, beleértve a</w:t>
      </w:r>
      <w:r w:rsidRPr="008F0FF1">
        <w:rPr>
          <w:sz w:val="24"/>
          <w:szCs w:val="24"/>
        </w:rPr>
        <w:t xml:space="preserve"> biztosítási szerződések nemzetközi számviteli szabványának más</w:t>
      </w:r>
      <w:r w:rsidR="008F0FF1">
        <w:rPr>
          <w:sz w:val="24"/>
          <w:szCs w:val="24"/>
        </w:rPr>
        <w:t>odik fázisára ill. a Szolvencia II.</w:t>
      </w:r>
      <w:r w:rsidRPr="008F0FF1">
        <w:rPr>
          <w:sz w:val="24"/>
          <w:szCs w:val="24"/>
        </w:rPr>
        <w:t xml:space="preserve"> kialakítására vonatkozó véleményezés</w:t>
      </w:r>
      <w:r w:rsidR="008F0FF1">
        <w:rPr>
          <w:sz w:val="24"/>
          <w:szCs w:val="24"/>
        </w:rPr>
        <w:t>t</w:t>
      </w:r>
      <w:r w:rsidRPr="008F0FF1">
        <w:rPr>
          <w:sz w:val="24"/>
          <w:szCs w:val="24"/>
        </w:rPr>
        <w:t xml:space="preserve"> és felkészülés</w:t>
      </w:r>
      <w:r w:rsidR="008F0FF1">
        <w:rPr>
          <w:sz w:val="24"/>
          <w:szCs w:val="24"/>
        </w:rPr>
        <w:t>t</w:t>
      </w:r>
      <w:r w:rsidRPr="008F0FF1">
        <w:rPr>
          <w:sz w:val="24"/>
          <w:szCs w:val="24"/>
        </w:rPr>
        <w:t>.</w:t>
      </w:r>
    </w:p>
    <w:p w:rsidR="00FC5F36" w:rsidRDefault="00FC5F36">
      <w:pPr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MAT ajánlások kidolgozása és elfogadása</w:t>
      </w:r>
      <w:r w:rsidR="008F0FF1">
        <w:rPr>
          <w:sz w:val="24"/>
          <w:szCs w:val="24"/>
        </w:rPr>
        <w:t>; a Szolvencia II.</w:t>
      </w:r>
      <w:r w:rsidR="00BE14DB">
        <w:rPr>
          <w:sz w:val="24"/>
          <w:szCs w:val="24"/>
        </w:rPr>
        <w:t xml:space="preserve"> rendszerében szükségessé váló szakmai sztenderdek illetve ajánlások kidolgozásában való részvétel</w:t>
      </w:r>
      <w:r>
        <w:rPr>
          <w:sz w:val="24"/>
          <w:szCs w:val="24"/>
        </w:rPr>
        <w:t>.</w:t>
      </w:r>
    </w:p>
    <w:p w:rsidR="00BE14DB" w:rsidRPr="008F0FF1" w:rsidRDefault="00FC5F36" w:rsidP="008F0FF1">
      <w:pPr>
        <w:numPr>
          <w:ilvl w:val="0"/>
          <w:numId w:val="2"/>
        </w:numPr>
        <w:tabs>
          <w:tab w:val="left" w:pos="36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Részvétel</w:t>
      </w:r>
      <w:r w:rsidR="008F0FF1">
        <w:rPr>
          <w:sz w:val="24"/>
          <w:szCs w:val="24"/>
        </w:rPr>
        <w:t xml:space="preserve"> erősítése</w:t>
      </w:r>
      <w:r>
        <w:rPr>
          <w:sz w:val="24"/>
          <w:szCs w:val="24"/>
        </w:rPr>
        <w:t xml:space="preserve"> a nemzetközi aktuárius szervezetek munkájában</w:t>
      </w:r>
      <w:r w:rsidR="008F0FF1">
        <w:rPr>
          <w:sz w:val="24"/>
          <w:szCs w:val="24"/>
        </w:rPr>
        <w:t>, új képviselők bevonása a munkába.</w:t>
      </w:r>
      <w:r w:rsidR="00FD26FB">
        <w:rPr>
          <w:sz w:val="24"/>
          <w:szCs w:val="24"/>
        </w:rPr>
        <w:t xml:space="preserve"> </w:t>
      </w:r>
      <w:r w:rsidR="00FD26FB" w:rsidRPr="00A34372">
        <w:rPr>
          <w:sz w:val="24"/>
          <w:szCs w:val="24"/>
        </w:rPr>
        <w:t>A képviselet szakmai szintjének erősítése, a társaság formális kontrolljának növelése.</w:t>
      </w:r>
    </w:p>
    <w:p w:rsidR="00BE14DB" w:rsidRPr="00FD26FB" w:rsidRDefault="00BE14DB" w:rsidP="00BE14DB">
      <w:pPr>
        <w:numPr>
          <w:ilvl w:val="0"/>
          <w:numId w:val="2"/>
        </w:numPr>
        <w:tabs>
          <w:tab w:val="left" w:pos="36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MAT honlapjának működtetése és </w:t>
      </w:r>
      <w:r w:rsidR="00AD6B48">
        <w:rPr>
          <w:sz w:val="24"/>
          <w:szCs w:val="24"/>
        </w:rPr>
        <w:t>tovább</w:t>
      </w:r>
      <w:r>
        <w:rPr>
          <w:sz w:val="24"/>
          <w:szCs w:val="24"/>
        </w:rPr>
        <w:t>fejlesztése</w:t>
      </w:r>
      <w:r w:rsidR="00266618">
        <w:rPr>
          <w:sz w:val="24"/>
          <w:szCs w:val="24"/>
        </w:rPr>
        <w:t xml:space="preserve">; </w:t>
      </w:r>
      <w:r w:rsidR="00266618" w:rsidRPr="00FD26FB">
        <w:rPr>
          <w:sz w:val="24"/>
          <w:szCs w:val="24"/>
        </w:rPr>
        <w:t>többek között annak biztosítása, hogy a honlap is támogassa a tagság aktivitását</w:t>
      </w:r>
      <w:r w:rsidRPr="00FD26FB">
        <w:rPr>
          <w:sz w:val="24"/>
          <w:szCs w:val="24"/>
        </w:rPr>
        <w:t>.</w:t>
      </w:r>
    </w:p>
    <w:p w:rsidR="00FC5F36" w:rsidRDefault="00FC5F36">
      <w:pPr>
        <w:numPr>
          <w:ilvl w:val="0"/>
          <w:numId w:val="2"/>
        </w:numPr>
        <w:tabs>
          <w:tab w:val="left" w:pos="36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MAT könyvtár támogatása.</w:t>
      </w:r>
    </w:p>
    <w:p w:rsidR="007F40FC" w:rsidRPr="00EF596B" w:rsidRDefault="007F40FC" w:rsidP="007F40FC">
      <w:pPr>
        <w:pStyle w:val="Listaszerbekezds"/>
        <w:numPr>
          <w:ilvl w:val="0"/>
          <w:numId w:val="2"/>
        </w:numPr>
        <w:tabs>
          <w:tab w:val="left" w:pos="360"/>
        </w:tabs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EF596B">
        <w:rPr>
          <w:rFonts w:ascii="Times New Roman" w:hAnsi="Times New Roman"/>
          <w:sz w:val="24"/>
          <w:szCs w:val="24"/>
        </w:rPr>
        <w:t>A European Actuarial Journal támogatása</w:t>
      </w:r>
      <w:r>
        <w:rPr>
          <w:rFonts w:ascii="Times New Roman" w:hAnsi="Times New Roman"/>
          <w:sz w:val="24"/>
          <w:szCs w:val="24"/>
        </w:rPr>
        <w:t>, népszerűsítése</w:t>
      </w:r>
      <w:r w:rsidRPr="00EF596B">
        <w:rPr>
          <w:rFonts w:ascii="Times New Roman" w:hAnsi="Times New Roman"/>
          <w:sz w:val="24"/>
          <w:szCs w:val="24"/>
        </w:rPr>
        <w:t>.</w:t>
      </w:r>
    </w:p>
    <w:p w:rsidR="008F0FF1" w:rsidRDefault="008F0FF1" w:rsidP="008F0FF1">
      <w:pPr>
        <w:numPr>
          <w:ilvl w:val="0"/>
          <w:numId w:val="2"/>
        </w:numPr>
        <w:tabs>
          <w:tab w:val="left" w:pos="36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Hagyományos rendezvényeink (kirándulás, újévi vacsora) megszervezése.</w:t>
      </w:r>
    </w:p>
    <w:p w:rsidR="003500D7" w:rsidRDefault="007F40FC" w:rsidP="007F40FC">
      <w:pPr>
        <w:pStyle w:val="Listaszerbekezds"/>
        <w:numPr>
          <w:ilvl w:val="0"/>
          <w:numId w:val="2"/>
        </w:numPr>
        <w:tabs>
          <w:tab w:val="left" w:pos="360"/>
        </w:tabs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EF596B">
        <w:rPr>
          <w:rFonts w:ascii="Times New Roman" w:hAnsi="Times New Roman"/>
          <w:sz w:val="24"/>
          <w:szCs w:val="24"/>
        </w:rPr>
        <w:t xml:space="preserve">MAT többletének társaság céljára történő felhasználásának </w:t>
      </w:r>
      <w:r>
        <w:rPr>
          <w:rFonts w:ascii="Times New Roman" w:hAnsi="Times New Roman"/>
          <w:sz w:val="24"/>
          <w:szCs w:val="24"/>
        </w:rPr>
        <w:t>további kimunkálása.</w:t>
      </w:r>
    </w:p>
    <w:p w:rsidR="007F40FC" w:rsidRPr="00FD26FB" w:rsidRDefault="003500D7" w:rsidP="007F40FC">
      <w:pPr>
        <w:pStyle w:val="Listaszerbekezds"/>
        <w:numPr>
          <w:ilvl w:val="0"/>
          <w:numId w:val="2"/>
        </w:numPr>
        <w:tabs>
          <w:tab w:val="left" w:pos="360"/>
        </w:tabs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FD26FB">
        <w:rPr>
          <w:rFonts w:ascii="Times New Roman" w:hAnsi="Times New Roman"/>
          <w:sz w:val="24"/>
          <w:szCs w:val="24"/>
        </w:rPr>
        <w:t>A MAT tagságának – az eddigieknél szélesebb</w:t>
      </w:r>
      <w:r w:rsidR="00931FB3" w:rsidRPr="00FD26FB">
        <w:rPr>
          <w:rFonts w:ascii="Times New Roman" w:hAnsi="Times New Roman"/>
          <w:sz w:val="24"/>
          <w:szCs w:val="24"/>
        </w:rPr>
        <w:t xml:space="preserve"> </w:t>
      </w:r>
      <w:r w:rsidRPr="00FD26FB">
        <w:rPr>
          <w:rFonts w:ascii="Times New Roman" w:hAnsi="Times New Roman"/>
          <w:sz w:val="24"/>
          <w:szCs w:val="24"/>
        </w:rPr>
        <w:t>körű – bevonása a szakmai munkába; amennyiben szükséges a szervezeti keretek ehhez való igazítása.</w:t>
      </w:r>
    </w:p>
    <w:p w:rsidR="009A05FC" w:rsidRPr="00FD26FB" w:rsidRDefault="009A05FC" w:rsidP="00AE174A">
      <w:pPr>
        <w:pStyle w:val="Listaszerbekezds"/>
        <w:tabs>
          <w:tab w:val="left" w:pos="360"/>
        </w:tabs>
        <w:spacing w:after="0" w:line="36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FD26FB">
        <w:rPr>
          <w:rFonts w:ascii="Times New Roman" w:hAnsi="Times New Roman"/>
          <w:sz w:val="24"/>
          <w:szCs w:val="24"/>
        </w:rPr>
        <w:t>Az ügyvezetőség rendszeresen megfelelő tájékoztatást ad a tevékenységéről</w:t>
      </w:r>
      <w:r w:rsidR="009A5D6C" w:rsidRPr="00FD26FB">
        <w:rPr>
          <w:rFonts w:ascii="Times New Roman" w:hAnsi="Times New Roman"/>
          <w:sz w:val="24"/>
          <w:szCs w:val="24"/>
        </w:rPr>
        <w:t>.</w:t>
      </w:r>
    </w:p>
    <w:p w:rsidR="00FC5F36" w:rsidRPr="0099264C" w:rsidRDefault="00FC5F36" w:rsidP="0099264C">
      <w:pPr>
        <w:tabs>
          <w:tab w:val="left" w:pos="0"/>
          <w:tab w:val="right" w:pos="8505"/>
        </w:tabs>
        <w:spacing w:line="360" w:lineRule="auto"/>
        <w:jc w:val="both"/>
        <w:rPr>
          <w:sz w:val="14"/>
          <w:szCs w:val="24"/>
        </w:rPr>
      </w:pPr>
    </w:p>
    <w:p w:rsidR="00551A4E" w:rsidRDefault="00551A4E" w:rsidP="00551A4E">
      <w:pPr>
        <w:pStyle w:val="Szvegtrzs2"/>
        <w:spacing w:line="360" w:lineRule="auto"/>
        <w:ind w:left="11" w:firstLine="11"/>
        <w:jc w:val="both"/>
        <w:outlineLvl w:val="0"/>
        <w:rPr>
          <w:b w:val="0"/>
          <w:bCs w:val="0"/>
          <w:sz w:val="24"/>
          <w:szCs w:val="24"/>
        </w:rPr>
      </w:pPr>
    </w:p>
    <w:p w:rsidR="00551A4E" w:rsidRDefault="00FC5F36" w:rsidP="00551A4E">
      <w:pPr>
        <w:pStyle w:val="Szvegtrzs2"/>
        <w:spacing w:line="360" w:lineRule="auto"/>
        <w:ind w:left="11" w:firstLine="11"/>
        <w:jc w:val="both"/>
        <w:outlineLvl w:val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Budapest, 20</w:t>
      </w:r>
      <w:r w:rsidR="00AD6B48">
        <w:rPr>
          <w:b w:val="0"/>
          <w:bCs w:val="0"/>
          <w:sz w:val="24"/>
          <w:szCs w:val="24"/>
        </w:rPr>
        <w:t>1</w:t>
      </w:r>
      <w:r w:rsidR="006A5E50">
        <w:rPr>
          <w:b w:val="0"/>
          <w:bCs w:val="0"/>
          <w:sz w:val="24"/>
          <w:szCs w:val="24"/>
        </w:rPr>
        <w:t>4</w:t>
      </w:r>
      <w:r>
        <w:rPr>
          <w:b w:val="0"/>
          <w:bCs w:val="0"/>
          <w:sz w:val="24"/>
          <w:szCs w:val="24"/>
        </w:rPr>
        <w:t xml:space="preserve">. </w:t>
      </w:r>
      <w:r w:rsidR="00BB39D5">
        <w:rPr>
          <w:b w:val="0"/>
          <w:bCs w:val="0"/>
          <w:sz w:val="24"/>
          <w:szCs w:val="24"/>
        </w:rPr>
        <w:t xml:space="preserve">május </w:t>
      </w:r>
      <w:r w:rsidR="006A5E50">
        <w:rPr>
          <w:b w:val="0"/>
          <w:bCs w:val="0"/>
          <w:sz w:val="24"/>
          <w:szCs w:val="24"/>
        </w:rPr>
        <w:t>23</w:t>
      </w:r>
      <w:bookmarkStart w:id="0" w:name="_GoBack"/>
      <w:bookmarkEnd w:id="0"/>
      <w:r w:rsidR="00C3008E">
        <w:rPr>
          <w:b w:val="0"/>
          <w:bCs w:val="0"/>
          <w:sz w:val="24"/>
          <w:szCs w:val="24"/>
        </w:rPr>
        <w:t>.</w:t>
      </w:r>
    </w:p>
    <w:sectPr w:rsidR="00551A4E" w:rsidSect="00473BE7">
      <w:pgSz w:w="11907" w:h="16840" w:code="9"/>
      <w:pgMar w:top="1247" w:right="2155" w:bottom="1247" w:left="1588" w:header="709" w:footer="709" w:gutter="0"/>
      <w:paperSrc w:first="7" w:other="7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B1C" w:rsidRDefault="00C64B1C">
      <w:r>
        <w:separator/>
      </w:r>
    </w:p>
  </w:endnote>
  <w:endnote w:type="continuationSeparator" w:id="0">
    <w:p w:rsidR="00C64B1C" w:rsidRDefault="00C64B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B1C" w:rsidRDefault="00C64B1C">
      <w:r>
        <w:separator/>
      </w:r>
    </w:p>
  </w:footnote>
  <w:footnote w:type="continuationSeparator" w:id="0">
    <w:p w:rsidR="00C64B1C" w:rsidRDefault="00C64B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39531E"/>
    <w:multiLevelType w:val="singleLevel"/>
    <w:tmpl w:val="FC74AB3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">
    <w:nsid w:val="7D063513"/>
    <w:multiLevelType w:val="hybridMultilevel"/>
    <w:tmpl w:val="D24C5C18"/>
    <w:lvl w:ilvl="0" w:tplc="040E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start w:val="2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proofState w:spelling="clean" w:grammar="clean"/>
  <w:stylePaneFormatFilter w:val="3F01"/>
  <w:trackRevisions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5F36"/>
    <w:rsid w:val="000A07B3"/>
    <w:rsid w:val="000A69D9"/>
    <w:rsid w:val="000B0F20"/>
    <w:rsid w:val="001215A8"/>
    <w:rsid w:val="001748CE"/>
    <w:rsid w:val="0021377C"/>
    <w:rsid w:val="00266618"/>
    <w:rsid w:val="00283A1F"/>
    <w:rsid w:val="002A62D1"/>
    <w:rsid w:val="002D4EEF"/>
    <w:rsid w:val="002F69A4"/>
    <w:rsid w:val="003500D7"/>
    <w:rsid w:val="003B2213"/>
    <w:rsid w:val="003E3E14"/>
    <w:rsid w:val="00407D09"/>
    <w:rsid w:val="00417A0F"/>
    <w:rsid w:val="004509CF"/>
    <w:rsid w:val="00473BE7"/>
    <w:rsid w:val="00551A4E"/>
    <w:rsid w:val="005B2052"/>
    <w:rsid w:val="005C7DC1"/>
    <w:rsid w:val="00641E83"/>
    <w:rsid w:val="006566E4"/>
    <w:rsid w:val="00657B0E"/>
    <w:rsid w:val="006A5E50"/>
    <w:rsid w:val="006C1560"/>
    <w:rsid w:val="007E528F"/>
    <w:rsid w:val="007F40FC"/>
    <w:rsid w:val="0084064C"/>
    <w:rsid w:val="008C1E9C"/>
    <w:rsid w:val="008C507D"/>
    <w:rsid w:val="008F0FF1"/>
    <w:rsid w:val="00931FB3"/>
    <w:rsid w:val="009348E6"/>
    <w:rsid w:val="0094682A"/>
    <w:rsid w:val="0094794D"/>
    <w:rsid w:val="0099264C"/>
    <w:rsid w:val="00997740"/>
    <w:rsid w:val="009A05FC"/>
    <w:rsid w:val="009A5D6C"/>
    <w:rsid w:val="009A7C39"/>
    <w:rsid w:val="00A34372"/>
    <w:rsid w:val="00AD6B48"/>
    <w:rsid w:val="00AE174A"/>
    <w:rsid w:val="00B222EA"/>
    <w:rsid w:val="00BB39D5"/>
    <w:rsid w:val="00BE14DB"/>
    <w:rsid w:val="00BE186E"/>
    <w:rsid w:val="00C3008E"/>
    <w:rsid w:val="00C64B1C"/>
    <w:rsid w:val="00C97FF3"/>
    <w:rsid w:val="00D13B92"/>
    <w:rsid w:val="00D25A0C"/>
    <w:rsid w:val="00D275A5"/>
    <w:rsid w:val="00DA7FCE"/>
    <w:rsid w:val="00E80A76"/>
    <w:rsid w:val="00EC00CF"/>
    <w:rsid w:val="00EF596B"/>
    <w:rsid w:val="00F32DBA"/>
    <w:rsid w:val="00F85D15"/>
    <w:rsid w:val="00FC5F36"/>
    <w:rsid w:val="00FD2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73BE7"/>
    <w:pPr>
      <w:autoSpaceDE w:val="0"/>
      <w:autoSpaceDN w:val="0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rsid w:val="00473BE7"/>
    <w:pPr>
      <w:autoSpaceDE/>
      <w:autoSpaceDN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473BE7"/>
    <w:rPr>
      <w:rFonts w:ascii="Tahoma" w:hAnsi="Tahoma" w:cs="Tahoma"/>
      <w:sz w:val="16"/>
      <w:szCs w:val="16"/>
    </w:rPr>
  </w:style>
  <w:style w:type="paragraph" w:styleId="Szvegtrzs2">
    <w:name w:val="Body Text 2"/>
    <w:basedOn w:val="Norml"/>
    <w:link w:val="Szvegtrzs2Char"/>
    <w:uiPriority w:val="99"/>
    <w:rsid w:val="00473BE7"/>
    <w:pPr>
      <w:spacing w:after="240"/>
      <w:ind w:firstLine="284"/>
      <w:jc w:val="center"/>
    </w:pPr>
    <w:rPr>
      <w:b/>
      <w:bCs/>
      <w:sz w:val="28"/>
      <w:szCs w:val="28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locked/>
    <w:rsid w:val="00473BE7"/>
    <w:rPr>
      <w:rFonts w:cs="Times New Roman"/>
      <w:sz w:val="20"/>
      <w:szCs w:val="20"/>
    </w:rPr>
  </w:style>
  <w:style w:type="paragraph" w:styleId="Dokumentumtrkp">
    <w:name w:val="Document Map"/>
    <w:basedOn w:val="Norml"/>
    <w:link w:val="DokumentumtrkpChar"/>
    <w:uiPriority w:val="99"/>
    <w:semiHidden/>
    <w:rsid w:val="004509CF"/>
    <w:pPr>
      <w:shd w:val="clear" w:color="auto" w:fill="000080"/>
    </w:pPr>
    <w:rPr>
      <w:rFonts w:ascii="Tahoma" w:hAnsi="Tahoma" w:cs="Tahoma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locked/>
    <w:rsid w:val="00473BE7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3B221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473BE7"/>
    <w:rPr>
      <w:rFonts w:cs="Times New Roman"/>
      <w:sz w:val="20"/>
      <w:szCs w:val="20"/>
    </w:rPr>
  </w:style>
  <w:style w:type="paragraph" w:styleId="llb">
    <w:name w:val="footer"/>
    <w:basedOn w:val="Norml"/>
    <w:link w:val="llbChar"/>
    <w:uiPriority w:val="99"/>
    <w:rsid w:val="003B221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473BE7"/>
    <w:rPr>
      <w:rFonts w:cs="Times New Roman"/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rsid w:val="00417A0F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473BE7"/>
    <w:rPr>
      <w:rFonts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rsid w:val="00417A0F"/>
    <w:rPr>
      <w:rFonts w:cs="Times New Roman"/>
      <w:vertAlign w:val="superscript"/>
    </w:rPr>
  </w:style>
  <w:style w:type="paragraph" w:styleId="Listaszerbekezds">
    <w:name w:val="List Paragraph"/>
    <w:basedOn w:val="Norml"/>
    <w:uiPriority w:val="99"/>
    <w:qFormat/>
    <w:rsid w:val="007F40FC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Javaslat a Magyar Aktuárius Társaság 2013/2014 évi munkaprogramjára</dc:title>
  <dc:creator>Borza</dc:creator>
  <cp:lastModifiedBy>Boldizsar</cp:lastModifiedBy>
  <cp:revision>3</cp:revision>
  <cp:lastPrinted>2012-06-07T10:25:00Z</cp:lastPrinted>
  <dcterms:created xsi:type="dcterms:W3CDTF">2014-05-11T20:23:00Z</dcterms:created>
  <dcterms:modified xsi:type="dcterms:W3CDTF">2014-05-13T13:31:00Z</dcterms:modified>
</cp:coreProperties>
</file>